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60"/>
        </w:tabs>
        <w:adjustRightInd w:val="0"/>
        <w:spacing w:after="156" w:afterLines="50"/>
        <w:jc w:val="center"/>
        <w:rPr>
          <w:rFonts w:ascii="方正黑体_GBK" w:hAnsi="方正黑体_GBK" w:eastAsia="方正黑体_GBK" w:cs="方正黑体_GBK"/>
          <w:sz w:val="30"/>
          <w:szCs w:val="30"/>
        </w:rPr>
      </w:pPr>
      <w:bookmarkStart w:id="0" w:name="_GoBack"/>
      <w:r>
        <w:rPr>
          <w:rFonts w:hint="eastAsia" w:ascii="方正黑体_GBK" w:hAnsi="方正黑体_GBK" w:eastAsia="方正黑体_GBK" w:cs="方正黑体_GBK"/>
          <w:sz w:val="30"/>
          <w:szCs w:val="30"/>
        </w:rPr>
        <w:t>（三）涉及金额较大的重点联合惩戒失信企业公告名单</w:t>
      </w:r>
    </w:p>
    <w:bookmarkEnd w:id="0"/>
    <w:p>
      <w:pPr>
        <w:pStyle w:val="4"/>
        <w:keepNext w:val="0"/>
        <w:keepLines w:val="0"/>
        <w:pageBreakBefore w:val="0"/>
        <w:widowControl/>
        <w:kinsoku/>
        <w:wordWrap/>
        <w:overflowPunct/>
        <w:topLinePunct w:val="0"/>
        <w:autoSpaceDE/>
        <w:autoSpaceDN/>
        <w:bidi w:val="0"/>
        <w:adjustRightInd/>
        <w:snapToGrid/>
        <w:spacing w:beforeLines="0" w:line="300" w:lineRule="exact"/>
        <w:textAlignment w:val="auto"/>
        <w:outlineLvl w:val="1"/>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附表</w:t>
      </w:r>
      <w:r>
        <w:rPr>
          <w:rFonts w:hint="eastAsia" w:ascii="Times New Roman" w:hAnsi="Times New Roman" w:eastAsia="方正仿宋_GBK" w:cs="Times New Roman"/>
          <w:b/>
          <w:sz w:val="30"/>
          <w:szCs w:val="30"/>
          <w:lang w:val="en-US" w:eastAsia="zh-CN"/>
        </w:rPr>
        <w:t>4</w:t>
      </w:r>
      <w:r>
        <w:rPr>
          <w:rFonts w:hint="eastAsia" w:ascii="Times New Roman" w:hAnsi="Times New Roman" w:eastAsia="方正仿宋_GBK" w:cs="Times New Roman"/>
          <w:b/>
          <w:sz w:val="30"/>
          <w:szCs w:val="30"/>
        </w:rPr>
        <w:t>：新增涉案金额亿元以上失信被执行人企业名单</w:t>
      </w:r>
    </w:p>
    <w:p>
      <w:pPr>
        <w:pStyle w:val="4"/>
        <w:keepNext w:val="0"/>
        <w:keepLines w:val="0"/>
        <w:pageBreakBefore w:val="0"/>
        <w:widowControl/>
        <w:kinsoku/>
        <w:wordWrap/>
        <w:overflowPunct/>
        <w:topLinePunct w:val="0"/>
        <w:autoSpaceDE/>
        <w:autoSpaceDN/>
        <w:bidi w:val="0"/>
        <w:adjustRightInd/>
        <w:snapToGrid/>
        <w:spacing w:beforeLines="0" w:line="300" w:lineRule="exact"/>
        <w:textAlignment w:val="auto"/>
        <w:outlineLvl w:val="1"/>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（2019年</w:t>
      </w:r>
      <w:r>
        <w:rPr>
          <w:rFonts w:hint="eastAsia" w:ascii="Times New Roman" w:hAnsi="Times New Roman" w:eastAsia="方正仿宋_GBK" w:cs="Times New Roman"/>
          <w:b/>
          <w:sz w:val="30"/>
          <w:szCs w:val="30"/>
          <w:lang w:val="en-US" w:eastAsia="zh-CN"/>
        </w:rPr>
        <w:t>9</w:t>
      </w:r>
      <w:r>
        <w:rPr>
          <w:rFonts w:hint="eastAsia" w:ascii="Times New Roman" w:hAnsi="Times New Roman" w:eastAsia="方正仿宋_GBK" w:cs="Times New Roman"/>
          <w:b/>
          <w:sz w:val="30"/>
          <w:szCs w:val="30"/>
        </w:rPr>
        <w:t>月）</w:t>
      </w:r>
    </w:p>
    <w:tbl>
      <w:tblPr>
        <w:tblStyle w:val="2"/>
        <w:tblW w:w="8695" w:type="dxa"/>
        <w:jc w:val="center"/>
        <w:tblInd w:w="-109" w:type="dxa"/>
        <w:shd w:val="clear" w:color="auto" w:fill="auto"/>
        <w:tblLayout w:type="fixed"/>
        <w:tblCellMar>
          <w:top w:w="0" w:type="dxa"/>
          <w:left w:w="0" w:type="dxa"/>
          <w:bottom w:w="0" w:type="dxa"/>
          <w:right w:w="0" w:type="dxa"/>
        </w:tblCellMar>
      </w:tblPr>
      <w:tblGrid>
        <w:gridCol w:w="4596"/>
        <w:gridCol w:w="2685"/>
        <w:gridCol w:w="1414"/>
      </w:tblGrid>
      <w:tr>
        <w:tblPrEx>
          <w:shd w:val="clear" w:color="auto" w:fill="auto"/>
          <w:tblLayout w:type="fixed"/>
          <w:tblCellMar>
            <w:top w:w="0" w:type="dxa"/>
            <w:left w:w="0" w:type="dxa"/>
            <w:bottom w:w="0" w:type="dxa"/>
            <w:right w:w="0" w:type="dxa"/>
          </w:tblCellMar>
        </w:tblPrEx>
        <w:trPr>
          <w:trHeight w:val="630"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
                <w:i w:val="0"/>
                <w:kern w:val="2"/>
                <w:sz w:val="24"/>
                <w:szCs w:val="24"/>
                <w:u w:val="none"/>
                <w:lang w:val="en-US" w:eastAsia="zh-CN" w:bidi="ar"/>
              </w:rPr>
            </w:pPr>
            <w:r>
              <w:rPr>
                <w:rFonts w:hint="eastAsia" w:ascii="Times New Roman" w:hAnsi="Times New Roman" w:eastAsia="方正仿宋_GBK" w:cs="Times New Roman"/>
                <w:b/>
                <w:i w:val="0"/>
                <w:kern w:val="2"/>
                <w:sz w:val="24"/>
                <w:szCs w:val="24"/>
                <w:u w:val="none"/>
                <w:lang w:val="en-US" w:eastAsia="zh-CN" w:bidi="ar"/>
              </w:rPr>
              <w:t>企业名称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
                <w:i w:val="0"/>
                <w:kern w:val="2"/>
                <w:sz w:val="24"/>
                <w:szCs w:val="24"/>
                <w:u w:val="none"/>
                <w:lang w:val="en-US" w:eastAsia="zh-CN" w:bidi="ar"/>
              </w:rPr>
            </w:pPr>
            <w:r>
              <w:rPr>
                <w:rFonts w:hint="eastAsia" w:ascii="Times New Roman" w:hAnsi="Times New Roman" w:eastAsia="方正仿宋_GBK" w:cs="Times New Roman"/>
                <w:b/>
                <w:i w:val="0"/>
                <w:kern w:val="2"/>
                <w:sz w:val="24"/>
                <w:szCs w:val="24"/>
                <w:u w:val="none"/>
                <w:lang w:val="en-US" w:eastAsia="zh-CN" w:bidi="ar"/>
              </w:rPr>
              <w:t>统一社会信用代码</w:t>
            </w:r>
            <w:r>
              <w:rPr>
                <w:rFonts w:hint="default" w:ascii="Times New Roman" w:hAnsi="Times New Roman" w:eastAsia="方正仿宋_GBK" w:cs="Times New Roman"/>
                <w:b/>
                <w:i w:val="0"/>
                <w:kern w:val="2"/>
                <w:sz w:val="24"/>
                <w:szCs w:val="24"/>
                <w:u w:val="none"/>
                <w:lang w:val="en-US" w:eastAsia="zh-CN" w:bidi="ar"/>
              </w:rPr>
              <w:t>/</w:t>
            </w:r>
            <w:r>
              <w:rPr>
                <w:rFonts w:hint="default" w:ascii="Times New Roman" w:hAnsi="Times New Roman" w:eastAsia="方正仿宋_GBK" w:cs="Times New Roman"/>
                <w:b/>
                <w:i w:val="0"/>
                <w:kern w:val="2"/>
                <w:sz w:val="24"/>
                <w:szCs w:val="24"/>
                <w:u w:val="none"/>
                <w:lang w:val="en-US" w:eastAsia="zh-CN" w:bidi="ar"/>
              </w:rPr>
              <w:br w:type="textWrapping"/>
            </w:r>
            <w:r>
              <w:rPr>
                <w:rFonts w:hint="eastAsia" w:ascii="Times New Roman" w:hAnsi="Times New Roman" w:eastAsia="方正仿宋_GBK" w:cs="Times New Roman"/>
                <w:b/>
                <w:i w:val="0"/>
                <w:kern w:val="2"/>
                <w:sz w:val="24"/>
                <w:szCs w:val="24"/>
                <w:u w:val="none"/>
                <w:lang w:val="en-US" w:eastAsia="zh-CN" w:bidi="ar"/>
              </w:rPr>
              <w:t>工商注册号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
                <w:i w:val="0"/>
                <w:kern w:val="2"/>
                <w:sz w:val="24"/>
                <w:szCs w:val="24"/>
                <w:u w:val="none"/>
                <w:lang w:val="en-US" w:eastAsia="zh-CN" w:bidi="ar"/>
              </w:rPr>
            </w:pPr>
            <w:r>
              <w:rPr>
                <w:rFonts w:hint="eastAsia" w:ascii="Times New Roman" w:hAnsi="Times New Roman" w:eastAsia="方正仿宋_GBK" w:cs="Times New Roman"/>
                <w:b/>
                <w:i w:val="0"/>
                <w:kern w:val="2"/>
                <w:sz w:val="24"/>
                <w:szCs w:val="24"/>
                <w:u w:val="none"/>
                <w:lang w:val="en-US" w:eastAsia="zh-CN" w:bidi="ar"/>
              </w:rPr>
              <w:t>涉案金额</w:t>
            </w:r>
            <w:r>
              <w:rPr>
                <w:rFonts w:hint="default" w:ascii="Times New Roman" w:hAnsi="Times New Roman" w:eastAsia="方正仿宋_GBK" w:cs="Times New Roman"/>
                <w:b/>
                <w:i w:val="0"/>
                <w:kern w:val="2"/>
                <w:sz w:val="24"/>
                <w:szCs w:val="24"/>
                <w:u w:val="none"/>
                <w:lang w:val="en-US" w:eastAsia="zh-CN" w:bidi="ar"/>
              </w:rPr>
              <w:br w:type="textWrapping"/>
            </w:r>
            <w:r>
              <w:rPr>
                <w:rFonts w:hint="eastAsia" w:ascii="Times New Roman" w:hAnsi="Times New Roman" w:eastAsia="方正仿宋_GBK" w:cs="Times New Roman"/>
                <w:b/>
                <w:i w:val="0"/>
                <w:kern w:val="2"/>
                <w:sz w:val="24"/>
                <w:szCs w:val="24"/>
                <w:u w:val="none"/>
                <w:lang w:val="en-US" w:eastAsia="zh-CN" w:bidi="ar"/>
              </w:rPr>
              <w:t>（亿元）</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中国青旅实业发展有限责任公司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91110101101124897Y</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10.12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吴江静思园</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91320509746814457K</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8.04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苏州静思园园林工程有限公司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913205096993770627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8.04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吴江市庆磊实业有限公司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91320509703696171E</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8.04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吴江静思园投资发展有限公司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91320509775418189E</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8.04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中国青旅实业发展有限责任公司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91110101101124897Y</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8.04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苏州静思园有限公司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91320509MA1MNHHH8B</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8.04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福建省莆田市泽润房地产开发有限公司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91350302550977318N</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5.64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福建省涵江港涵房地产开发有限公司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91350300611253488H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5.64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北京宇驰瑞德投资有限公司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91110111330354418M</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北京文化硅谷资产运营集团有限公司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911101110592043232</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北京首润投资管理有限公司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91110105062845957A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北京鸿宁投资有限公司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91110105069602552M</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蓝鼎实业(湖北)有限公司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91429004181688042K</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北京市神州百戏文化产业有限公司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91110111560356742J</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北京一禾启程商务管理有限公司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911101050696010900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北京华嬉云游文化产业有限公司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91110111580845287U</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成都联星投资有限公司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91510114665316579H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成都高山流水投资管理有限公司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510112752829225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成都中塑投资集团有限公司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915101146909419315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陕西联星科工贸集团有限公司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91610000623747653Y</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成都联星置业发展有限公司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510181743639948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佛山市根本棉业有限公司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440602000031702</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3.49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广州新目标投资有限公司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91440101766128761G</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3.49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江苏宜鹏重工有限公司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913202826858730497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3.22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河北融投担保集团有限公司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911300006610578481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3.19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河北融投创业投资有限公司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91130000572849165A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3.19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广东奇鹏生物科技有限公司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91445200696400474P</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广东鹏锦实业有限公司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914452037701580747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广东速力实业股份有限公司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914452000812075391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广东兆佳实业有限公司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91445200304216409W</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广东凯业贸易有限公司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9144520056820441XH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深圳市鑫腾华资产管理有限公司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91440300311697685A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广东天锦实业股份有限公司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91445200MA4UMPA89E</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惠州市鸿企房地产开发有限公司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91441303779219822F</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深圳市保利天同投资有限公司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914403005815590632</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贵阳思源房地产开发有限公司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9152010069270063XN</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贵阳海洋房地产开发有限公司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91520100755351044H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2.80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山东东方华龙工贸集团有限公司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91370523613396124E</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2.61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邯郸市邯台房地产开发有限公司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911304001068146007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2.41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河南省隆庆祥服饰有限公司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914101047295962672</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2.34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唐山国泰纸业有限公司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911302217575419336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2.34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河北昌泰纸业有限公司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91130229560475338Q</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2.34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河南华晶超硬材料股份有限公司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91410100732485322F</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2.32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郑州高新科技企业加速器开发有限公司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91410100053360202C</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2.32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河北鑫达钢铁集团有限公司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91130283743423645P</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2.24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唐山市春兴特种钢有限公司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91130200750266262H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2.13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山东正顺车轮有限公司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913705237526827456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2.08</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山东大新化工有限公司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91370303694448503P</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2.05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霸州市胜芳万路建材有限公司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911310816013544020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1.90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河北会兴金属制品有限公司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91131081601340676A</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1.90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霸州市紫旭贸易有限公司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91131081689259396K</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1.90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山东乾和生物科技有限公司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91371421698059425B</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1.80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宝生时代包装材料江苏有限公司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91321023301917592C</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1.75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中科建设开发总公司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91310000633073234F</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1.75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常熟华元房地产开发有限公司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91320581669615074B</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1.75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平顶山泓源能源科技开发有限公司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91410400684646418Y</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河南省平顶山泓利煤焦有限公司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9141040272864583X6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湖北嘉禄建设工程有限公司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91421100558400820N</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黄冈市晟昶贸易有限公司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91421121585469655E</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湖北亿嘉亿贸易有限公司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91421100685610409M</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北镇市恒信粮食购销有限责任公司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91210725791581648R</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1.69</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松潘县松川水电开发有限责任公司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513224762349268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安阳市豫北金铅有限责任公司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91410506739077575C</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河南三丰铜业有限责任公司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914105067751029771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1.60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河南宏阳建设集团有限公司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410116678053990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1.58</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河南司法警官职业学院</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12410000415800843M</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1.58</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山西同辉重工有限责任公司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91141100767103822H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1.57</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吕梁永宁煤焦集团有限责任公司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91141100757289854L</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1.57</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深圳市新一佳商业发展有限公司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9144030019231250XW</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新一佳超市有限公司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914403001923250797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讷河瑞阳二号投资管理有限公司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91230281090377169W</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1.51</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开原市再生资源回收和综合利用市场有限公司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9121128279769263XL</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1.48</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安徽益力置业有限公司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91340100698974447G</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合肥中筑置业发展有限公司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91340100682073900D</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国购投资有限公司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913401005545806760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潍坊虞清商厦置业发展有限公司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91370705590316477T</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潍坊沃华房地产开发有限公司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913707026768232267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潍坊沃华物业管理有限公司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91370705059006650M</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天津市陆港石油橡胶有限公司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91120116675956019M</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1.32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上海华信国际集团有限公司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913101157472980366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1.13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浙江语云控股有限公司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91330702MA28ELK17Q</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1.13</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国本建设有限公司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91330783757092365F</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1.10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东阳市国厦广场商贸有限公司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91330783795585793R</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1.10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红蜻蜓粮油工业荆门有限责任公司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91420822588249420L</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1.05</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淮北国购汽车产业园投资发展有限公司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91340600590153102D</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山东龙力生物科技股份有限公司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91371400729258057H</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1.04</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乌兰察布市白乃庙铜业有限责任公司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91150929116903383G</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深圳冠欣矿业集团有限公司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91440300731135312G</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深圳市冠欣投资有限公司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914403007388342639</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郑州迅腾贸易有限公司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9141018468175451X5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雏鹰农牧集团股份有限公司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914101007492377718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1.02</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科瑞天诚投资控股有限公司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91360106742602991X</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北京三九建业房地产开发有限公司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91110000600093140P</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1.00</w:t>
            </w:r>
          </w:p>
        </w:tc>
      </w:tr>
      <w:tr>
        <w:tblPrEx>
          <w:tblLayout w:type="fixed"/>
          <w:tblCellMar>
            <w:top w:w="0" w:type="dxa"/>
            <w:left w:w="0" w:type="dxa"/>
            <w:bottom w:w="0" w:type="dxa"/>
            <w:right w:w="0" w:type="dxa"/>
          </w:tblCellMar>
        </w:tblPrEx>
        <w:trPr>
          <w:trHeight w:val="315" w:hRule="atLeast"/>
          <w:jc w:val="center"/>
        </w:trPr>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eastAsia" w:ascii="Times New Roman" w:hAnsi="Times New Roman" w:eastAsia="方正仿宋_GBK" w:cs="Times New Roman"/>
                <w:bCs/>
                <w:i w:val="0"/>
                <w:kern w:val="2"/>
                <w:sz w:val="24"/>
                <w:szCs w:val="24"/>
                <w:u w:val="none"/>
                <w:lang w:val="en-US" w:eastAsia="zh-CN" w:bidi="ar"/>
              </w:rPr>
            </w:pPr>
            <w:r>
              <w:rPr>
                <w:rFonts w:hint="eastAsia" w:ascii="Times New Roman" w:hAnsi="Times New Roman" w:eastAsia="方正仿宋_GBK" w:cs="Times New Roman"/>
                <w:bCs/>
                <w:i w:val="0"/>
                <w:kern w:val="2"/>
                <w:sz w:val="24"/>
                <w:szCs w:val="24"/>
                <w:u w:val="none"/>
                <w:lang w:val="en-US" w:eastAsia="zh-CN" w:bidi="ar"/>
              </w:rPr>
              <w:t>莆田市炳坤家居有限公司</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91350300784528830B</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line="300" w:lineRule="exact"/>
              <w:jc w:val="center"/>
              <w:textAlignment w:val="auto"/>
              <w:rPr>
                <w:rFonts w:hint="default" w:ascii="Times New Roman" w:hAnsi="Times New Roman" w:eastAsia="方正仿宋_GBK" w:cs="Times New Roman"/>
                <w:bCs/>
                <w:i w:val="0"/>
                <w:kern w:val="2"/>
                <w:sz w:val="24"/>
                <w:szCs w:val="24"/>
                <w:u w:val="none"/>
                <w:lang w:val="en-US" w:eastAsia="zh-CN" w:bidi="ar"/>
              </w:rPr>
            </w:pPr>
            <w:r>
              <w:rPr>
                <w:rFonts w:hint="default" w:ascii="Times New Roman" w:hAnsi="Times New Roman" w:eastAsia="方正仿宋_GBK" w:cs="Times New Roman"/>
                <w:bCs/>
                <w:i w:val="0"/>
                <w:kern w:val="2"/>
                <w:sz w:val="24"/>
                <w:szCs w:val="24"/>
                <w:u w:val="none"/>
                <w:lang w:val="en-US" w:eastAsia="zh-CN" w:bidi="ar"/>
              </w:rPr>
              <w:t>1.00</w:t>
            </w:r>
          </w:p>
        </w:tc>
      </w:tr>
    </w:tbl>
    <w:p>
      <w:pPr>
        <w:tabs>
          <w:tab w:val="left" w:pos="5660"/>
        </w:tabs>
        <w:adjustRightInd w:val="0"/>
        <w:spacing w:line="588" w:lineRule="exact"/>
        <w:jc w:val="both"/>
        <w:rPr>
          <w:rFonts w:ascii="Times New Roman" w:hAnsi="Times New Roman" w:eastAsia="方正仿宋_GBK" w:cs="Times New Roman"/>
          <w:sz w:val="30"/>
          <w:szCs w:val="30"/>
        </w:rPr>
      </w:pPr>
    </w:p>
    <w:p>
      <w:pPr>
        <w:pStyle w:val="4"/>
        <w:keepNext w:val="0"/>
        <w:keepLines w:val="0"/>
        <w:pageBreakBefore w:val="0"/>
        <w:widowControl/>
        <w:kinsoku/>
        <w:wordWrap/>
        <w:overflowPunct/>
        <w:topLinePunct w:val="0"/>
        <w:autoSpaceDE/>
        <w:autoSpaceDN/>
        <w:bidi w:val="0"/>
        <w:adjustRightInd/>
        <w:snapToGrid/>
        <w:spacing w:beforeLines="0" w:line="300" w:lineRule="exact"/>
        <w:textAlignment w:val="auto"/>
        <w:outlineLvl w:val="1"/>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附表5：新增偷税涉及税款三千万以上重大税收违法案件当事人企业名单（2019年</w:t>
      </w:r>
      <w:r>
        <w:rPr>
          <w:rFonts w:hint="eastAsia" w:ascii="Times New Roman" w:hAnsi="Times New Roman" w:eastAsia="方正仿宋_GBK" w:cs="Times New Roman"/>
          <w:b/>
          <w:sz w:val="30"/>
          <w:szCs w:val="30"/>
          <w:lang w:val="en-US" w:eastAsia="zh-CN"/>
        </w:rPr>
        <w:t>9</w:t>
      </w:r>
      <w:r>
        <w:rPr>
          <w:rFonts w:hint="eastAsia" w:ascii="Times New Roman" w:hAnsi="Times New Roman" w:eastAsia="方正仿宋_GBK" w:cs="Times New Roman"/>
          <w:b/>
          <w:sz w:val="30"/>
          <w:szCs w:val="30"/>
        </w:rPr>
        <w:t>月）</w:t>
      </w:r>
    </w:p>
    <w:tbl>
      <w:tblPr>
        <w:tblStyle w:val="2"/>
        <w:tblW w:w="8817" w:type="dxa"/>
        <w:jc w:val="center"/>
        <w:tblInd w:w="-235" w:type="dxa"/>
        <w:shd w:val="clear" w:color="auto" w:fill="auto"/>
        <w:tblLayout w:type="fixed"/>
        <w:tblCellMar>
          <w:top w:w="0" w:type="dxa"/>
          <w:left w:w="0" w:type="dxa"/>
          <w:bottom w:w="0" w:type="dxa"/>
          <w:right w:w="0" w:type="dxa"/>
        </w:tblCellMar>
      </w:tblPr>
      <w:tblGrid>
        <w:gridCol w:w="4133"/>
        <w:gridCol w:w="2634"/>
        <w:gridCol w:w="2050"/>
      </w:tblGrid>
      <w:tr>
        <w:tblPrEx>
          <w:tblLayout w:type="fixed"/>
          <w:tblCellMar>
            <w:top w:w="0" w:type="dxa"/>
            <w:left w:w="0" w:type="dxa"/>
            <w:bottom w:w="0" w:type="dxa"/>
            <w:right w:w="0" w:type="dxa"/>
          </w:tblCellMar>
        </w:tblPrEx>
        <w:trPr>
          <w:trHeight w:val="630" w:hRule="atLeast"/>
          <w:jc w:val="center"/>
        </w:trPr>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line="300" w:lineRule="exact"/>
              <w:jc w:val="center"/>
              <w:textAlignment w:val="auto"/>
              <w:rPr>
                <w:rFonts w:hint="default" w:ascii="Times New Roman" w:hAnsi="Times New Roman" w:eastAsia="方正仿宋_GBK" w:cs="Times New Roman"/>
                <w:b/>
                <w:i w:val="0"/>
                <w:kern w:val="2"/>
                <w:sz w:val="24"/>
                <w:szCs w:val="24"/>
                <w:u w:val="none"/>
                <w:lang w:val="en-US" w:eastAsia="zh-CN" w:bidi="ar"/>
              </w:rPr>
            </w:pPr>
            <w:r>
              <w:rPr>
                <w:rFonts w:hint="eastAsia" w:ascii="Times New Roman" w:hAnsi="Times New Roman" w:eastAsia="方正仿宋_GBK" w:cs="Times New Roman"/>
                <w:b/>
                <w:i w:val="0"/>
                <w:kern w:val="2"/>
                <w:sz w:val="24"/>
                <w:szCs w:val="24"/>
                <w:u w:val="none"/>
                <w:lang w:val="en-US" w:eastAsia="zh-CN" w:bidi="ar"/>
              </w:rPr>
              <w:t>企业名称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line="300" w:lineRule="exact"/>
              <w:jc w:val="center"/>
              <w:textAlignment w:val="auto"/>
              <w:rPr>
                <w:rFonts w:hint="default" w:ascii="Times New Roman" w:hAnsi="Times New Roman" w:eastAsia="方正仿宋_GBK" w:cs="Times New Roman"/>
                <w:b/>
                <w:i w:val="0"/>
                <w:kern w:val="2"/>
                <w:sz w:val="24"/>
                <w:szCs w:val="24"/>
                <w:u w:val="none"/>
                <w:lang w:val="en-US" w:eastAsia="zh-CN" w:bidi="ar"/>
              </w:rPr>
            </w:pPr>
            <w:r>
              <w:rPr>
                <w:rFonts w:hint="eastAsia" w:ascii="Times New Roman" w:hAnsi="Times New Roman" w:eastAsia="方正仿宋_GBK" w:cs="Times New Roman"/>
                <w:b/>
                <w:i w:val="0"/>
                <w:kern w:val="2"/>
                <w:sz w:val="24"/>
                <w:szCs w:val="24"/>
                <w:u w:val="none"/>
                <w:lang w:val="en-US" w:eastAsia="zh-CN" w:bidi="ar"/>
              </w:rPr>
              <w:t>统一社会信用代码</w:t>
            </w:r>
            <w:r>
              <w:rPr>
                <w:rFonts w:hint="default" w:ascii="Times New Roman" w:hAnsi="Times New Roman" w:eastAsia="方正仿宋_GBK" w:cs="Times New Roman"/>
                <w:b/>
                <w:i w:val="0"/>
                <w:kern w:val="2"/>
                <w:sz w:val="24"/>
                <w:szCs w:val="24"/>
                <w:u w:val="none"/>
                <w:lang w:val="en-US" w:eastAsia="zh-CN" w:bidi="ar"/>
              </w:rPr>
              <w:t>/</w:t>
            </w:r>
            <w:r>
              <w:rPr>
                <w:rFonts w:hint="default" w:ascii="Times New Roman" w:hAnsi="Times New Roman" w:eastAsia="方正仿宋_GBK" w:cs="Times New Roman"/>
                <w:b/>
                <w:i w:val="0"/>
                <w:kern w:val="2"/>
                <w:sz w:val="24"/>
                <w:szCs w:val="24"/>
                <w:u w:val="none"/>
                <w:lang w:val="en-US" w:eastAsia="zh-CN" w:bidi="ar"/>
              </w:rPr>
              <w:br w:type="textWrapping"/>
            </w:r>
            <w:r>
              <w:rPr>
                <w:rFonts w:hint="eastAsia" w:ascii="Times New Roman" w:hAnsi="Times New Roman" w:eastAsia="方正仿宋_GBK" w:cs="Times New Roman"/>
                <w:b/>
                <w:i w:val="0"/>
                <w:kern w:val="2"/>
                <w:sz w:val="24"/>
                <w:szCs w:val="24"/>
                <w:u w:val="none"/>
                <w:lang w:val="en-US" w:eastAsia="zh-CN" w:bidi="ar"/>
              </w:rPr>
              <w:t>工商注册号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line="300" w:lineRule="exact"/>
              <w:jc w:val="center"/>
              <w:textAlignment w:val="auto"/>
              <w:rPr>
                <w:rFonts w:hint="default" w:ascii="Times New Roman" w:hAnsi="Times New Roman" w:eastAsia="方正仿宋_GBK" w:cs="Times New Roman"/>
                <w:b/>
                <w:i w:val="0"/>
                <w:kern w:val="2"/>
                <w:sz w:val="24"/>
                <w:szCs w:val="24"/>
                <w:u w:val="none"/>
                <w:lang w:val="en-US" w:eastAsia="zh-CN" w:bidi="ar"/>
              </w:rPr>
            </w:pPr>
            <w:r>
              <w:rPr>
                <w:rFonts w:hint="eastAsia" w:ascii="Times New Roman" w:hAnsi="Times New Roman" w:eastAsia="方正仿宋_GBK" w:cs="Times New Roman"/>
                <w:b/>
                <w:i w:val="0"/>
                <w:kern w:val="2"/>
                <w:sz w:val="24"/>
                <w:szCs w:val="24"/>
                <w:u w:val="none"/>
                <w:lang w:val="en-US" w:eastAsia="zh-CN" w:bidi="ar"/>
              </w:rPr>
              <w:t>偷税金额（万元）</w:t>
            </w:r>
          </w:p>
        </w:tc>
      </w:tr>
      <w:tr>
        <w:tblPrEx>
          <w:tblLayout w:type="fixed"/>
          <w:tblCellMar>
            <w:top w:w="0" w:type="dxa"/>
            <w:left w:w="0" w:type="dxa"/>
            <w:bottom w:w="0" w:type="dxa"/>
            <w:right w:w="0" w:type="dxa"/>
          </w:tblCellMar>
        </w:tblPrEx>
        <w:trPr>
          <w:trHeight w:val="315" w:hRule="atLeast"/>
          <w:jc w:val="center"/>
        </w:trPr>
        <w:tc>
          <w:tcPr>
            <w:tcW w:w="4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kern w:val="2"/>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深圳市百纳威电子股份有限公司</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kern w:val="2"/>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91440300553860182B</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kern w:val="2"/>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11,612.60</w:t>
            </w:r>
          </w:p>
        </w:tc>
      </w:tr>
    </w:tbl>
    <w:p>
      <w:pPr>
        <w:tabs>
          <w:tab w:val="left" w:pos="5660"/>
        </w:tabs>
        <w:adjustRightInd w:val="0"/>
        <w:spacing w:line="400" w:lineRule="exact"/>
        <w:jc w:val="both"/>
        <w:rPr>
          <w:rFonts w:ascii="Times New Roman" w:hAnsi="Times New Roman" w:eastAsia="方正仿宋_GBK" w:cs="Times New Roman"/>
          <w:sz w:val="30"/>
          <w:szCs w:val="30"/>
        </w:rPr>
      </w:pPr>
    </w:p>
    <w:p>
      <w:pPr>
        <w:tabs>
          <w:tab w:val="left" w:pos="5660"/>
        </w:tabs>
        <w:adjustRightInd w:val="0"/>
        <w:spacing w:line="400" w:lineRule="exact"/>
        <w:jc w:val="both"/>
        <w:rPr>
          <w:rFonts w:ascii="Times New Roman" w:hAnsi="Times New Roman" w:eastAsia="方正仿宋_GBK" w:cs="Times New Roman"/>
          <w:sz w:val="30"/>
          <w:szCs w:val="30"/>
        </w:rPr>
      </w:pPr>
    </w:p>
    <w:p>
      <w:pPr>
        <w:pStyle w:val="4"/>
        <w:keepNext w:val="0"/>
        <w:keepLines w:val="0"/>
        <w:pageBreakBefore w:val="0"/>
        <w:widowControl/>
        <w:kinsoku/>
        <w:wordWrap/>
        <w:overflowPunct/>
        <w:topLinePunct w:val="0"/>
        <w:autoSpaceDE/>
        <w:autoSpaceDN/>
        <w:bidi w:val="0"/>
        <w:adjustRightInd/>
        <w:snapToGrid/>
        <w:spacing w:beforeLines="0" w:line="300" w:lineRule="exact"/>
        <w:textAlignment w:val="auto"/>
        <w:outlineLvl w:val="1"/>
        <w:rPr>
          <w:rFonts w:hint="eastAsia" w:ascii="方正黑体_GBK" w:hAnsi="方正黑体_GBK" w:eastAsia="方正黑体_GBK" w:cs="方正黑体_GBK"/>
          <w:sz w:val="30"/>
          <w:szCs w:val="30"/>
          <w:lang w:val="en-US" w:eastAsia="zh-CN"/>
        </w:rPr>
      </w:pPr>
      <w:r>
        <w:rPr>
          <w:rFonts w:hint="eastAsia" w:ascii="Times New Roman" w:hAnsi="Times New Roman" w:eastAsia="方正仿宋_GBK" w:cs="Times New Roman"/>
          <w:b/>
          <w:sz w:val="30"/>
          <w:szCs w:val="30"/>
        </w:rPr>
        <w:t>附表</w:t>
      </w:r>
      <w:r>
        <w:rPr>
          <w:rFonts w:hint="eastAsia" w:ascii="Times New Roman" w:hAnsi="Times New Roman" w:eastAsia="方正仿宋_GBK" w:cs="Times New Roman"/>
          <w:b/>
          <w:sz w:val="30"/>
          <w:szCs w:val="30"/>
          <w:lang w:val="en-US" w:eastAsia="zh-CN"/>
        </w:rPr>
        <w:t>6</w:t>
      </w:r>
      <w:r>
        <w:rPr>
          <w:rFonts w:hint="eastAsia" w:ascii="Times New Roman" w:hAnsi="Times New Roman" w:eastAsia="方正仿宋_GBK" w:cs="Times New Roman"/>
          <w:b/>
          <w:sz w:val="30"/>
          <w:szCs w:val="30"/>
        </w:rPr>
        <w:t>：新增对外虚开增值税发票涉及税额三千万以上重大税收违法案件当事人企业名单（2019年</w:t>
      </w:r>
      <w:r>
        <w:rPr>
          <w:rFonts w:hint="eastAsia" w:ascii="Times New Roman" w:hAnsi="Times New Roman" w:eastAsia="方正仿宋_GBK" w:cs="Times New Roman"/>
          <w:b/>
          <w:sz w:val="30"/>
          <w:szCs w:val="30"/>
          <w:lang w:val="en-US" w:eastAsia="zh-CN"/>
        </w:rPr>
        <w:t>9</w:t>
      </w:r>
      <w:r>
        <w:rPr>
          <w:rFonts w:hint="eastAsia" w:ascii="Times New Roman" w:hAnsi="Times New Roman" w:eastAsia="方正仿宋_GBK" w:cs="Times New Roman"/>
          <w:b/>
          <w:sz w:val="30"/>
          <w:szCs w:val="30"/>
        </w:rPr>
        <w:t>月）</w:t>
      </w:r>
    </w:p>
    <w:tbl>
      <w:tblPr>
        <w:tblStyle w:val="2"/>
        <w:tblW w:w="8673" w:type="dxa"/>
        <w:jc w:val="center"/>
        <w:tblInd w:w="-337" w:type="dxa"/>
        <w:shd w:val="clear" w:color="auto" w:fill="auto"/>
        <w:tblLayout w:type="fixed"/>
        <w:tblCellMar>
          <w:top w:w="0" w:type="dxa"/>
          <w:left w:w="0" w:type="dxa"/>
          <w:bottom w:w="0" w:type="dxa"/>
          <w:right w:w="0" w:type="dxa"/>
        </w:tblCellMar>
      </w:tblPr>
      <w:tblGrid>
        <w:gridCol w:w="3799"/>
        <w:gridCol w:w="2640"/>
        <w:gridCol w:w="2234"/>
      </w:tblGrid>
      <w:tr>
        <w:tblPrEx>
          <w:shd w:val="clear" w:color="auto" w:fill="auto"/>
          <w:tblLayout w:type="fixed"/>
          <w:tblCellMar>
            <w:top w:w="0" w:type="dxa"/>
            <w:left w:w="0" w:type="dxa"/>
            <w:bottom w:w="0" w:type="dxa"/>
            <w:right w:w="0" w:type="dxa"/>
          </w:tblCellMar>
        </w:tblPrEx>
        <w:trPr>
          <w:trHeight w:val="850"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line="300" w:lineRule="exact"/>
              <w:jc w:val="center"/>
              <w:textAlignment w:val="auto"/>
              <w:rPr>
                <w:rFonts w:hint="eastAsia" w:ascii="Times New Roman" w:hAnsi="Times New Roman" w:eastAsia="方正仿宋_GBK" w:cs="Times New Roman"/>
                <w:b/>
                <w:i w:val="0"/>
                <w:sz w:val="24"/>
                <w:szCs w:val="24"/>
                <w:u w:val="none"/>
                <w:lang w:bidi="ar"/>
              </w:rPr>
            </w:pPr>
            <w:r>
              <w:rPr>
                <w:rFonts w:hint="eastAsia" w:ascii="Times New Roman" w:hAnsi="Times New Roman" w:eastAsia="方正仿宋_GBK" w:cs="Times New Roman"/>
                <w:b/>
                <w:i w:val="0"/>
                <w:kern w:val="2"/>
                <w:sz w:val="24"/>
                <w:szCs w:val="24"/>
                <w:u w:val="none"/>
                <w:lang w:val="en-US" w:eastAsia="zh-CN" w:bidi="ar"/>
              </w:rPr>
              <w:t>企业名称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line="300" w:lineRule="exact"/>
              <w:jc w:val="center"/>
              <w:textAlignment w:val="auto"/>
              <w:rPr>
                <w:rFonts w:hint="eastAsia" w:ascii="Times New Roman" w:hAnsi="Times New Roman" w:eastAsia="方正仿宋_GBK" w:cs="Times New Roman"/>
                <w:b/>
                <w:i w:val="0"/>
                <w:sz w:val="24"/>
                <w:szCs w:val="24"/>
                <w:u w:val="none"/>
                <w:lang w:bidi="ar"/>
              </w:rPr>
            </w:pPr>
            <w:r>
              <w:rPr>
                <w:rFonts w:hint="eastAsia" w:ascii="Times New Roman" w:hAnsi="Times New Roman" w:eastAsia="方正仿宋_GBK" w:cs="Times New Roman"/>
                <w:b/>
                <w:i w:val="0"/>
                <w:kern w:val="2"/>
                <w:sz w:val="24"/>
                <w:szCs w:val="24"/>
                <w:u w:val="none"/>
                <w:lang w:val="en-US" w:eastAsia="zh-CN" w:bidi="ar"/>
              </w:rPr>
              <w:t>统一社会信用代码/</w:t>
            </w:r>
            <w:r>
              <w:rPr>
                <w:rFonts w:hint="eastAsia" w:ascii="Times New Roman" w:hAnsi="Times New Roman" w:eastAsia="方正仿宋_GBK" w:cs="Times New Roman"/>
                <w:b/>
                <w:i w:val="0"/>
                <w:kern w:val="2"/>
                <w:sz w:val="24"/>
                <w:szCs w:val="24"/>
                <w:u w:val="none"/>
                <w:lang w:val="en-US" w:eastAsia="zh-CN" w:bidi="ar"/>
              </w:rPr>
              <w:br w:type="textWrapping"/>
            </w:r>
            <w:r>
              <w:rPr>
                <w:rFonts w:hint="eastAsia" w:ascii="Times New Roman" w:hAnsi="Times New Roman" w:eastAsia="方正仿宋_GBK" w:cs="Times New Roman"/>
                <w:b/>
                <w:i w:val="0"/>
                <w:kern w:val="2"/>
                <w:sz w:val="24"/>
                <w:szCs w:val="24"/>
                <w:u w:val="none"/>
                <w:lang w:val="en-US" w:eastAsia="zh-CN" w:bidi="ar"/>
              </w:rPr>
              <w:t>工商注册号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line="300" w:lineRule="exact"/>
              <w:jc w:val="center"/>
              <w:textAlignment w:val="auto"/>
              <w:rPr>
                <w:rFonts w:hint="eastAsia" w:ascii="Times New Roman" w:hAnsi="Times New Roman" w:eastAsia="方正仿宋_GBK" w:cs="Times New Roman"/>
                <w:b/>
                <w:i w:val="0"/>
                <w:sz w:val="24"/>
                <w:szCs w:val="24"/>
                <w:u w:val="none"/>
                <w:lang w:bidi="ar"/>
              </w:rPr>
            </w:pPr>
            <w:r>
              <w:rPr>
                <w:rFonts w:hint="eastAsia" w:ascii="Times New Roman" w:hAnsi="Times New Roman" w:eastAsia="方正仿宋_GBK" w:cs="Times New Roman"/>
                <w:b/>
                <w:i w:val="0"/>
                <w:kern w:val="2"/>
                <w:sz w:val="24"/>
                <w:szCs w:val="24"/>
                <w:u w:val="none"/>
                <w:lang w:val="en-US" w:eastAsia="zh-CN" w:bidi="ar"/>
              </w:rPr>
              <w:t>对外虚开增值税发票</w:t>
            </w:r>
            <w:r>
              <w:rPr>
                <w:rFonts w:hint="eastAsia" w:ascii="Times New Roman" w:hAnsi="Times New Roman" w:eastAsia="方正仿宋_GBK" w:cs="Times New Roman"/>
                <w:b/>
                <w:i w:val="0"/>
                <w:kern w:val="2"/>
                <w:sz w:val="24"/>
                <w:szCs w:val="24"/>
                <w:u w:val="none"/>
                <w:lang w:val="en-US" w:eastAsia="zh-CN" w:bidi="ar"/>
              </w:rPr>
              <w:br w:type="textWrapping"/>
            </w:r>
            <w:r>
              <w:rPr>
                <w:rFonts w:hint="eastAsia" w:ascii="Times New Roman" w:hAnsi="Times New Roman" w:eastAsia="方正仿宋_GBK" w:cs="Times New Roman"/>
                <w:b/>
                <w:i w:val="0"/>
                <w:kern w:val="2"/>
                <w:sz w:val="24"/>
                <w:szCs w:val="24"/>
                <w:u w:val="none"/>
                <w:lang w:val="en-US" w:eastAsia="zh-CN" w:bidi="ar"/>
              </w:rPr>
              <w:t>涉及税额（万元）</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南京环源石油化工有限公司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91320193MA1MHK1TXJ</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20,559.03</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上海一芥实业有限公司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91310115320791112T</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15,154.60</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上海翊毓电子商务有限公司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91310109323140518K</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14,397.22</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上海正觅龙商贸有限公司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91310105MA1FWB1Y19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14,343.46</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尔岚国际贸易（上海）有限公司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9131000008800585XE</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13,803.49</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江苏亿安汇贸易有限公司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321322000422739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12,570.34</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上海跃豪金属材料有限公司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91310115555922316L</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11,882.58</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上海盛津石油化工有限公司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9131011539873189X0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11,824.97</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上海褓樨贸易有限公司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91310113MA1GLT2H9X</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10,941.42</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上海覃檀贸易有限公司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91310230MA1K0XP65Q</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9,220.72</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江阴昌益铜业发展有限公司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91320281MA1NX7NW79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8,397.49</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上海欣嘉物资有限公司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913101156311441741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6,874.99</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上海诅衡实业有限公司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91310115676289078L</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6,728.38</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上海庚翀实业有限公司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91310230MA1K05P85D</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6,494.90</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上海绅昂渥贸易有限公司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91310110MA1G8NDF5Q</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6,158.03</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上海亓吉实业有限公司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91310230MA1K05P345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5,261.72</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上海砼吉国际贸易有限公司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91310115MA1K3FDQX3</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5,048.63</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上海枢笃实业有限公司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91310230MA1K05P26A</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4,844.07</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上海皇垚贸易有限公司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91310115MA1K3EPX00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4,171.51</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奥磐国际贸易（上海）有限公司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91310115320757838K</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4,161.89</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上海啟辕实业有限公司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310110000555854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4,030.76</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上海钧越进出口贸易有限公司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91310115MA1H7FMF6R</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3,979.31</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上海浩谨金属材料有限公司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310141000095234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3,917.27</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上海溶智国际贸易有限公司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91310115090022405F</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3,727.09</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广西贵港市美鸥船务有限公司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9145080066212247XH</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3,509.20</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沈阳鸿易盛化工产品有限公司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91210113MA0P4N1K47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3,271.58</w:t>
            </w:r>
          </w:p>
        </w:tc>
      </w:tr>
      <w:tr>
        <w:tblPrEx>
          <w:tblLayout w:type="fixed"/>
          <w:tblCellMar>
            <w:top w:w="0" w:type="dxa"/>
            <w:left w:w="0" w:type="dxa"/>
            <w:bottom w:w="0" w:type="dxa"/>
            <w:right w:w="0" w:type="dxa"/>
          </w:tblCellMar>
        </w:tblPrEx>
        <w:trPr>
          <w:trHeight w:val="315" w:hRule="atLeast"/>
          <w:jc w:val="center"/>
        </w:trPr>
        <w:tc>
          <w:tcPr>
            <w:tcW w:w="3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公美贵（上海）实业有限公司</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310141000096317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jc w:val="center"/>
              <w:textAlignment w:val="auto"/>
              <w:rPr>
                <w:rFonts w:hint="eastAsia" w:ascii="Times New Roman" w:hAnsi="Times New Roman" w:eastAsia="方正仿宋_GBK" w:cs="Times New Roman"/>
                <w:i w:val="0"/>
                <w:sz w:val="24"/>
                <w:szCs w:val="24"/>
                <w:u w:val="none"/>
                <w:lang w:bidi="ar"/>
              </w:rPr>
            </w:pPr>
            <w:r>
              <w:rPr>
                <w:rFonts w:hint="eastAsia" w:ascii="Times New Roman" w:hAnsi="Times New Roman" w:eastAsia="方正仿宋_GBK" w:cs="Times New Roman"/>
                <w:i w:val="0"/>
                <w:kern w:val="2"/>
                <w:sz w:val="24"/>
                <w:szCs w:val="24"/>
                <w:u w:val="none"/>
                <w:lang w:val="en-US" w:eastAsia="zh-CN" w:bidi="ar"/>
              </w:rPr>
              <w:t>3,106.29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D73BC"/>
    <w:rsid w:val="574D7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表标题"/>
    <w:basedOn w:val="1"/>
    <w:qFormat/>
    <w:uiPriority w:val="0"/>
    <w:pPr>
      <w:widowControl/>
      <w:spacing w:beforeLines="50"/>
      <w:jc w:val="center"/>
      <w:outlineLvl w:val="3"/>
    </w:pPr>
    <w:rPr>
      <w:rFonts w:ascii="黑体" w:eastAsia="黑体"/>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2019-10-11T03:50:00Z</dcterms:created>
  <dc:creator>sui(^.^)阳阳</dc:creator>
  <cp:lastModifiedBy>sui(^.^)阳阳</cp:lastModifiedBy>
  <dcterms:modified xsi:type="dcterms:W3CDTF">2019-10-11T03:50:25Z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